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6" w:line="223" w:lineRule="auto"/>
        <w:ind w:left="30"/>
        <w:jc w:val="center"/>
        <w:rPr>
          <w:rFonts w:hint="default" w:ascii="Times New Roman" w:hAnsi="Times New Roman" w:eastAsia="宋体" w:cs="Times New Roman"/>
          <w:sz w:val="47"/>
          <w:szCs w:val="47"/>
        </w:rPr>
      </w:pPr>
      <w:r>
        <w:rPr>
          <w:rFonts w:hint="default" w:ascii="Times New Roman" w:hAnsi="Times New Roman" w:eastAsia="宋体" w:cs="Times New Roman"/>
          <w:spacing w:val="35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湖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</w:rPr>
        <w:t xml:space="preserve">   </w:t>
      </w:r>
      <w:r>
        <w:rPr>
          <w:rFonts w:hint="eastAsia" w:ascii="Times New Roman" w:hAnsi="Times New Roman" w:eastAsia="宋体" w:cs="Times New Roman"/>
          <w:spacing w:val="31"/>
          <w:sz w:val="47"/>
          <w:szCs w:val="47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南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</w:rPr>
        <w:t xml:space="preserve">  </w:t>
      </w:r>
      <w:r>
        <w:rPr>
          <w:rFonts w:hint="eastAsia" w:ascii="Times New Roman" w:hAnsi="Times New Roman" w:eastAsia="宋体" w:cs="Times New Roman"/>
          <w:spacing w:val="31"/>
          <w:sz w:val="47"/>
          <w:szCs w:val="47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</w:rPr>
        <w:t xml:space="preserve">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省</w:t>
      </w:r>
      <w:r>
        <w:rPr>
          <w:rFonts w:hint="eastAsia" w:ascii="Times New Roman" w:hAnsi="Times New Roman" w:eastAsia="宋体" w:cs="Times New Roman"/>
          <w:spacing w:val="31"/>
          <w:sz w:val="47"/>
          <w:szCs w:val="47"/>
          <w:lang w:val="en-US" w:eastAsia="zh-CN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 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</w:rPr>
        <w:t xml:space="preserve">  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地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</w:rPr>
        <w:t xml:space="preserve">  </w:t>
      </w:r>
      <w:r>
        <w:rPr>
          <w:rFonts w:hint="eastAsia" w:ascii="Times New Roman" w:hAnsi="Times New Roman" w:eastAsia="宋体" w:cs="Times New Roman"/>
          <w:spacing w:val="31"/>
          <w:sz w:val="47"/>
          <w:szCs w:val="47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</w:rPr>
        <w:t xml:space="preserve">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方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</w:rPr>
        <w:t xml:space="preserve">  </w:t>
      </w:r>
      <w:r>
        <w:rPr>
          <w:rFonts w:hint="eastAsia" w:ascii="Times New Roman" w:hAnsi="Times New Roman" w:eastAsia="宋体" w:cs="Times New Roman"/>
          <w:spacing w:val="31"/>
          <w:sz w:val="47"/>
          <w:szCs w:val="47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</w:rPr>
        <w:t xml:space="preserve">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标</w:t>
      </w:r>
      <w:r>
        <w:rPr>
          <w:rFonts w:hint="eastAsia" w:ascii="Times New Roman" w:hAnsi="Times New Roman" w:eastAsia="宋体" w:cs="Times New Roman"/>
          <w:spacing w:val="31"/>
          <w:sz w:val="47"/>
          <w:szCs w:val="47"/>
          <w:lang w:val="en-US" w:eastAsia="zh-CN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 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</w:rPr>
        <w:t xml:space="preserve">  </w:t>
      </w:r>
      <w:r>
        <w:rPr>
          <w:rFonts w:hint="default" w:ascii="Times New Roman" w:hAnsi="Times New Roman" w:eastAsia="宋体" w:cs="Times New Roman"/>
          <w:spacing w:val="31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准</w:t>
      </w:r>
    </w:p>
    <w:p>
      <w:pPr>
        <w:spacing w:line="286" w:lineRule="auto"/>
        <w:rPr>
          <w:rFonts w:hint="default" w:ascii="Times New Roman" w:hAnsi="Times New Roman" w:cs="Times New Roman"/>
          <w:sz w:val="21"/>
        </w:rPr>
      </w:pPr>
    </w:p>
    <w:p>
      <w:pPr>
        <w:spacing w:line="286" w:lineRule="auto"/>
        <w:rPr>
          <w:rFonts w:hint="default" w:ascii="Times New Roman" w:hAnsi="Times New Roman" w:cs="Times New Roman"/>
          <w:sz w:val="21"/>
        </w:rPr>
      </w:pPr>
    </w:p>
    <w:p>
      <w:pPr>
        <w:spacing w:line="286" w:lineRule="auto"/>
        <w:rPr>
          <w:rFonts w:hint="default" w:ascii="Times New Roman" w:hAnsi="Times New Roman" w:cs="Times New Roman"/>
          <w:sz w:val="21"/>
        </w:rPr>
      </w:pPr>
    </w:p>
    <w:p>
      <w:pPr>
        <w:spacing w:line="286" w:lineRule="auto"/>
        <w:rPr>
          <w:rFonts w:hint="default" w:ascii="Times New Roman" w:hAnsi="Times New Roman" w:cs="Times New Roman"/>
          <w:sz w:val="21"/>
        </w:rPr>
      </w:pPr>
    </w:p>
    <w:p>
      <w:pPr>
        <w:spacing w:before="153" w:line="223" w:lineRule="auto"/>
        <w:jc w:val="center"/>
        <w:rPr>
          <w:rFonts w:hint="default" w:ascii="Times New Roman" w:hAnsi="Times New Roman" w:eastAsia="宋体" w:cs="Times New Roman"/>
          <w:sz w:val="47"/>
          <w:szCs w:val="47"/>
        </w:rPr>
      </w:pPr>
      <w:r>
        <w:rPr>
          <w:rFonts w:hint="eastAsia" w:ascii="Times New Roman" w:hAnsi="Times New Roman" w:eastAsia="宋体" w:cs="Times New Roman"/>
          <w:spacing w:val="8"/>
          <w:sz w:val="47"/>
          <w:szCs w:val="47"/>
          <w:lang w:val="en-US" w:eastAsia="zh-CN"/>
        </w:rPr>
        <w:t>梨早期落叶综合防控技术规程</w:t>
      </w:r>
    </w:p>
    <w:p>
      <w:pPr>
        <w:spacing w:before="75" w:line="281" w:lineRule="exact"/>
        <w:jc w:val="center"/>
        <w:rPr>
          <w:rFonts w:hint="default" w:ascii="Times New Roman" w:hAnsi="Times New Roman" w:eastAsia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lang w:eastAsia="zh-CN"/>
        </w:rPr>
        <w:t>Technical regulations for control of early defoliation of pear</w:t>
      </w:r>
    </w:p>
    <w:p>
      <w:pPr>
        <w:spacing w:before="301" w:line="220" w:lineRule="auto"/>
        <w:jc w:val="center"/>
        <w:rPr>
          <w:rFonts w:hint="default" w:ascii="Times New Roman" w:hAnsi="Times New Roman" w:eastAsia="宋体" w:cs="Times New Roman"/>
          <w:sz w:val="52"/>
          <w:szCs w:val="52"/>
        </w:rPr>
      </w:pPr>
      <w:r>
        <w:rPr>
          <w:rFonts w:hint="default" w:ascii="Times New Roman" w:hAnsi="Times New Roman" w:eastAsia="宋体" w:cs="Times New Roman"/>
          <w:spacing w:val="-27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hint="default" w:ascii="Times New Roman" w:hAnsi="Times New Roman" w:eastAsia="宋体" w:cs="Times New Roman"/>
          <w:spacing w:val="-24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制说明</w:t>
      </w:r>
    </w:p>
    <w:p>
      <w:pPr>
        <w:spacing w:before="264" w:line="225" w:lineRule="auto"/>
        <w:jc w:val="center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36"/>
          <w:sz w:val="31"/>
          <w:szCs w:val="31"/>
        </w:rPr>
        <w:t>(</w:t>
      </w:r>
      <w:r>
        <w:rPr>
          <w:rFonts w:hint="eastAsia" w:ascii="Times New Roman" w:hAnsi="Times New Roman" w:eastAsia="宋体" w:cs="Times New Roman"/>
          <w:spacing w:val="36"/>
          <w:sz w:val="31"/>
          <w:szCs w:val="31"/>
          <w:lang w:val="en-US" w:eastAsia="zh-CN"/>
        </w:rPr>
        <w:t>征求意见</w:t>
      </w:r>
      <w:r>
        <w:rPr>
          <w:rFonts w:hint="default" w:ascii="Times New Roman" w:hAnsi="Times New Roman" w:eastAsia="宋体" w:cs="Times New Roman"/>
          <w:spacing w:val="33"/>
          <w:sz w:val="31"/>
          <w:szCs w:val="31"/>
        </w:rPr>
        <w:t>稿)</w:t>
      </w: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cs="Times New Roman"/>
          <w:sz w:val="21"/>
        </w:rPr>
      </w:pPr>
    </w:p>
    <w:p>
      <w:pPr>
        <w:spacing w:line="241" w:lineRule="auto"/>
        <w:rPr>
          <w:rFonts w:hint="default" w:ascii="Times New Roman" w:hAnsi="Times New Roman" w:cs="Times New Roman"/>
          <w:sz w:val="21"/>
        </w:rPr>
      </w:pPr>
    </w:p>
    <w:p>
      <w:pPr>
        <w:spacing w:line="241" w:lineRule="auto"/>
        <w:rPr>
          <w:rFonts w:hint="default" w:ascii="Times New Roman" w:hAnsi="Times New Roman" w:cs="Times New Roman"/>
          <w:sz w:val="21"/>
        </w:rPr>
      </w:pPr>
    </w:p>
    <w:p>
      <w:pPr>
        <w:spacing w:line="241" w:lineRule="auto"/>
        <w:rPr>
          <w:rFonts w:hint="default" w:ascii="Times New Roman" w:hAnsi="Times New Roman" w:cs="Times New Roman"/>
          <w:sz w:val="21"/>
        </w:rPr>
      </w:pPr>
    </w:p>
    <w:p>
      <w:pPr>
        <w:spacing w:line="241" w:lineRule="auto"/>
        <w:rPr>
          <w:rFonts w:hint="default" w:ascii="Times New Roman" w:hAnsi="Times New Roman" w:cs="Times New Roman"/>
          <w:sz w:val="21"/>
        </w:rPr>
      </w:pPr>
    </w:p>
    <w:p>
      <w:pPr>
        <w:spacing w:line="241" w:lineRule="auto"/>
        <w:rPr>
          <w:rFonts w:hint="default" w:ascii="Times New Roman" w:hAnsi="Times New Roman" w:cs="Times New Roman"/>
          <w:sz w:val="21"/>
        </w:rPr>
      </w:pPr>
    </w:p>
    <w:p>
      <w:pPr>
        <w:spacing w:line="241" w:lineRule="auto"/>
        <w:rPr>
          <w:rFonts w:hint="default" w:ascii="Times New Roman" w:hAnsi="Times New Roman" w:cs="Times New Roman"/>
          <w:sz w:val="21"/>
        </w:rPr>
      </w:pPr>
    </w:p>
    <w:p>
      <w:pPr>
        <w:spacing w:line="241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624" w:lineRule="exact"/>
        <w:jc w:val="center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-29"/>
          <w:position w:val="23"/>
          <w:sz w:val="31"/>
          <w:szCs w:val="31"/>
        </w:rPr>
        <w:t>湖</w:t>
      </w:r>
      <w:r>
        <w:rPr>
          <w:rFonts w:hint="default" w:ascii="Times New Roman" w:hAnsi="Times New Roman" w:eastAsia="宋体" w:cs="Times New Roman"/>
          <w:spacing w:val="-22"/>
          <w:position w:val="23"/>
          <w:sz w:val="31"/>
          <w:szCs w:val="31"/>
        </w:rPr>
        <w:t>南省园艺研究所</w:t>
      </w:r>
    </w:p>
    <w:p>
      <w:pPr>
        <w:spacing w:before="1" w:line="224" w:lineRule="auto"/>
        <w:jc w:val="center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Times New Roman" w:cs="Times New Roman"/>
          <w:spacing w:val="2"/>
          <w:sz w:val="31"/>
          <w:szCs w:val="31"/>
        </w:rPr>
        <w:t>2</w:t>
      </w:r>
      <w:r>
        <w:rPr>
          <w:rFonts w:hint="default" w:ascii="Times New Roman" w:hAnsi="Times New Roman" w:eastAsia="Times New Roman" w:cs="Times New Roman"/>
          <w:spacing w:val="1"/>
          <w:sz w:val="31"/>
          <w:szCs w:val="31"/>
        </w:rPr>
        <w:t>02</w:t>
      </w:r>
      <w:r>
        <w:rPr>
          <w:rFonts w:hint="eastAsia" w:ascii="Times New Roman" w:hAnsi="Times New Roman" w:eastAsia="宋体" w:cs="Times New Roman"/>
          <w:spacing w:val="1"/>
          <w:sz w:val="31"/>
          <w:szCs w:val="31"/>
          <w:lang w:val="en-US" w:eastAsia="zh-CN"/>
        </w:rPr>
        <w:t>3</w:t>
      </w:r>
      <w:r>
        <w:rPr>
          <w:rFonts w:hint="default"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hint="default" w:ascii="Times New Roman" w:hAnsi="Times New Roman" w:eastAsia="宋体" w:cs="Times New Roman"/>
          <w:spacing w:val="1"/>
          <w:sz w:val="31"/>
          <w:szCs w:val="31"/>
        </w:rPr>
        <w:t>年</w:t>
      </w:r>
      <w:r>
        <w:rPr>
          <w:rFonts w:hint="eastAsia" w:ascii="Times New Roman" w:hAnsi="Times New Roman" w:eastAsia="宋体" w:cs="Times New Roman"/>
          <w:spacing w:val="1"/>
          <w:sz w:val="31"/>
          <w:szCs w:val="3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1"/>
          <w:sz w:val="31"/>
          <w:szCs w:val="31"/>
          <w:lang w:val="en-US" w:eastAsia="zh-CN"/>
        </w:rPr>
        <w:t>11</w:t>
      </w:r>
      <w:r>
        <w:rPr>
          <w:rFonts w:hint="default"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hint="default" w:ascii="Times New Roman" w:hAnsi="Times New Roman" w:eastAsia="宋体" w:cs="Times New Roman"/>
          <w:spacing w:val="1"/>
          <w:sz w:val="31"/>
          <w:szCs w:val="31"/>
        </w:rPr>
        <w:t>月</w:t>
      </w:r>
      <w:r>
        <w:rPr>
          <w:rFonts w:hint="eastAsia" w:ascii="Times New Roman" w:hAnsi="Times New Roman" w:eastAsia="宋体" w:cs="Times New Roman"/>
          <w:spacing w:val="1"/>
          <w:sz w:val="31"/>
          <w:szCs w:val="31"/>
          <w:lang w:val="en-US" w:eastAsia="zh-CN"/>
        </w:rPr>
        <w:t xml:space="preserve">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>
      <w:pPr>
        <w:rPr>
          <w:rFonts w:hint="default" w:ascii="Times New Roman" w:hAnsi="Times New Roman" w:cs="Times New Roman"/>
        </w:rPr>
        <w:sectPr>
          <w:pgSz w:w="11906" w:h="16839"/>
          <w:pgMar w:top="1440" w:right="1800" w:bottom="1440" w:left="1800" w:header="0" w:footer="0" w:gutter="0"/>
          <w:cols w:space="720" w:num="1"/>
        </w:sectPr>
      </w:pPr>
    </w:p>
    <w:p>
      <w:pPr>
        <w:spacing w:before="153" w:line="223" w:lineRule="auto"/>
        <w:jc w:val="center"/>
        <w:rPr>
          <w:rFonts w:hint="default" w:ascii="Times New Roman" w:hAnsi="Times New Roman" w:eastAsia="黑体" w:cs="Times New Roman"/>
          <w:sz w:val="43"/>
          <w:szCs w:val="43"/>
        </w:rPr>
      </w:pPr>
      <w:r>
        <w:rPr>
          <w:rFonts w:hint="default" w:ascii="Times New Roman" w:hAnsi="Times New Roman" w:eastAsia="黑体" w:cs="Times New Roman"/>
          <w:spacing w:val="9"/>
          <w:sz w:val="43"/>
          <w:szCs w:val="43"/>
        </w:rPr>
        <w:t>《</w:t>
      </w:r>
      <w:r>
        <w:rPr>
          <w:rFonts w:hint="eastAsia" w:ascii="Times New Roman" w:hAnsi="Times New Roman" w:eastAsia="黑体" w:cs="Times New Roman"/>
          <w:spacing w:val="9"/>
          <w:sz w:val="43"/>
          <w:szCs w:val="43"/>
          <w:lang w:eastAsia="zh-CN"/>
        </w:rPr>
        <w:t>梨早期落叶综合防控技术规程</w:t>
      </w:r>
      <w:r>
        <w:rPr>
          <w:rFonts w:hint="default" w:ascii="Times New Roman" w:hAnsi="Times New Roman" w:eastAsia="黑体" w:cs="Times New Roman"/>
          <w:spacing w:val="9"/>
          <w:sz w:val="43"/>
          <w:szCs w:val="43"/>
        </w:rPr>
        <w:t>》</w:t>
      </w:r>
    </w:p>
    <w:p>
      <w:pPr>
        <w:spacing w:before="137" w:line="225" w:lineRule="auto"/>
        <w:ind w:left="3292"/>
        <w:rPr>
          <w:rFonts w:hint="default" w:ascii="Times New Roman" w:hAnsi="Times New Roman" w:eastAsia="宋体" w:cs="Times New Roman"/>
          <w:sz w:val="35"/>
          <w:szCs w:val="35"/>
        </w:rPr>
      </w:pPr>
      <w:r>
        <w:rPr>
          <w:rFonts w:hint="default" w:ascii="Times New Roman" w:hAnsi="Times New Roman" w:eastAsia="宋体" w:cs="Times New Roman"/>
          <w:spacing w:val="4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hint="eastAsia" w:ascii="Times New Roman" w:hAnsi="Times New Roman" w:eastAsia="宋体" w:cs="Times New Roman"/>
          <w:spacing w:val="37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征求意见</w:t>
      </w:r>
      <w:r>
        <w:rPr>
          <w:rFonts w:hint="default" w:ascii="Times New Roman" w:hAnsi="Times New Roman" w:eastAsia="宋体" w:cs="Times New Roman"/>
          <w:spacing w:val="3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稿)</w:t>
      </w:r>
    </w:p>
    <w:p>
      <w:pPr>
        <w:spacing w:before="314" w:line="225" w:lineRule="auto"/>
        <w:ind w:left="2970"/>
        <w:rPr>
          <w:rFonts w:hint="default" w:ascii="Times New Roman" w:hAnsi="Times New Roman" w:eastAsia="黑体" w:cs="Times New Roman"/>
          <w:sz w:val="43"/>
          <w:szCs w:val="43"/>
        </w:rPr>
      </w:pPr>
      <w:r>
        <w:rPr>
          <w:rFonts w:hint="default" w:ascii="Times New Roman" w:hAnsi="Times New Roman" w:eastAsia="黑体" w:cs="Times New Roman"/>
          <w:spacing w:val="10"/>
          <w:sz w:val="43"/>
          <w:szCs w:val="43"/>
        </w:rPr>
        <w:t xml:space="preserve">编 制 说 </w:t>
      </w:r>
      <w:r>
        <w:rPr>
          <w:rFonts w:hint="default" w:ascii="Times New Roman" w:hAnsi="Times New Roman" w:eastAsia="黑体" w:cs="Times New Roman"/>
          <w:spacing w:val="9"/>
          <w:sz w:val="43"/>
          <w:szCs w:val="43"/>
        </w:rPr>
        <w:t>明</w:t>
      </w:r>
    </w:p>
    <w:p>
      <w:pPr>
        <w:spacing w:before="340" w:line="526" w:lineRule="exact"/>
        <w:ind w:left="31"/>
        <w:outlineLvl w:val="0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18"/>
          <w:position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一、项目背</w:t>
      </w:r>
      <w:r>
        <w:rPr>
          <w:rFonts w:hint="default" w:ascii="Times New Roman" w:hAnsi="Times New Roman" w:eastAsia="宋体" w:cs="Times New Roman"/>
          <w:spacing w:val="17"/>
          <w:position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景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梨是我国分布最广的果树树种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，在湖南省种植面积达51万亩。湖南高温高湿的气候条件，以及病虫害防治不到位等因素，导致梨（主要是“翠冠”等早熟品种）早期落叶的现象普遍发生。梨早期落叶发生后造成的返青和返花现象不仅浪费了树体养分，使得树势衰弱，还会造成第二年花芽数量不足，严重影响翌年的产量和品质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本规程制定的“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梨</w:t>
      </w:r>
      <w:bookmarkStart w:id="0" w:name="StandardName"/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早期落叶综合防控技术规程</w:t>
      </w:r>
      <w:bookmarkEnd w:id="0"/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”，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通过抗逆品种选择、改善行间及冠下通风透光条件、改良梨园排灌水条件、平衡施肥、调控花果数量、加强病虫害防控及早期落叶发生后及时补救等技术措施，达到减轻梨早期落叶现象及减少其不良影响的效果。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梨早期落叶综合防控技术标准的制定，将有效控制我省梨生产普遍出现的早期落叶现象，提高梨果产量与品质，减少早期落叶给果农带来的经济损失，对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促进我省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梨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产业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健康发展具有重要意义。</w:t>
      </w:r>
    </w:p>
    <w:p>
      <w:pPr>
        <w:spacing w:before="151" w:line="418" w:lineRule="exact"/>
        <w:ind w:left="31"/>
        <w:outlineLvl w:val="0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18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二、工作简</w:t>
      </w:r>
      <w:r>
        <w:rPr>
          <w:rFonts w:hint="default" w:ascii="Times New Roman" w:hAnsi="Times New Roman" w:eastAsia="宋体" w:cs="Times New Roman"/>
          <w:spacing w:val="17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29" w:lineRule="exact"/>
        <w:ind w:left="680"/>
        <w:textAlignment w:val="baseline"/>
        <w:rPr>
          <w:rFonts w:hint="default"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  <w:t>1</w:t>
      </w:r>
      <w:r>
        <w:rPr>
          <w:rFonts w:hint="default" w:ascii="Times New Roman" w:hAnsi="Times New Roman" w:eastAsia="楷体" w:cs="Times New Roman"/>
          <w:b/>
          <w:bCs/>
          <w:spacing w:val="4"/>
          <w:position w:val="2"/>
          <w:sz w:val="32"/>
          <w:szCs w:val="32"/>
        </w:rPr>
        <w:t>、任务来源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本项目由湖南省质量技术监督局文件《关于下达202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年第一批地方标准制修订项目计划的通知》(湘市监标函〔202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号) 文件批准立项，项目类别为制定，由湖南省 农业标准化技术委员会归口，起至年限为202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年1月至202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年12月。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29" w:lineRule="exact"/>
        <w:ind w:left="680"/>
        <w:textAlignment w:val="baseline"/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  <w:t>2、起草单位、协作单位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起草单位:湖南省园艺研究所</w:t>
      </w:r>
    </w:p>
    <w:p>
      <w:pPr>
        <w:pStyle w:val="7"/>
        <w:spacing w:line="360" w:lineRule="auto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协作单位:</w:t>
      </w:r>
      <w:r>
        <w:rPr>
          <w:rFonts w:hint="eastAsia" w:ascii="Times New Roman" w:hAnsi="Times New Roman" w:eastAsia="仿宋_GB2312" w:cs="Times New Roman"/>
          <w:bCs/>
          <w:snapToGrid/>
          <w:color w:val="000000"/>
          <w:kern w:val="2"/>
          <w:sz w:val="32"/>
          <w:szCs w:val="32"/>
          <w:lang w:val="en-US" w:eastAsia="zh-CN" w:bidi="ar-SA"/>
        </w:rPr>
        <w:t>湖南省农业科学院、浏阳市大围山镇人民政府农业农村办、江华六月香果业股份有限公司、衡阳力丰现代农业发展有限公司、浏阳市康菁丽新农业发展有限公司、宏发苗香梨专业合作社、攸县大周家庭农场。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29" w:lineRule="exact"/>
        <w:ind w:left="680"/>
        <w:textAlignment w:val="baseline"/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  <w:t>3、主要起草人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湖南省园艺研究所是该项目的承担单位，</w:t>
      </w:r>
      <w:r>
        <w:rPr>
          <w:rFonts w:hint="eastAsia" w:ascii="Times New Roman" w:hAnsi="Times New Roman" w:eastAsia="仿宋_GB2312" w:cs="Times New Roman"/>
          <w:bCs/>
          <w:snapToGrid/>
          <w:color w:val="000000"/>
          <w:kern w:val="2"/>
          <w:sz w:val="32"/>
          <w:szCs w:val="32"/>
          <w:lang w:val="en-US" w:eastAsia="zh-CN" w:bidi="ar-SA"/>
        </w:rPr>
        <w:t>湖南省农业科学院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等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为项目参编单位。项目组成员具有多年从事梨栽培探索及标准化研究的工作经验，熟悉梨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生产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栽培的关键技术和管理环节，标准主要起草人员及人员分工见表1。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baseline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hint="default" w:ascii="Times New Roman" w:hAnsi="Times New Roman" w:eastAsia="仿宋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仿宋" w:cs="Times New Roman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hint="default" w:ascii="Times New Roman" w:hAnsi="Times New Roman" w:eastAsia="仿宋" w:cs="Times New Roman"/>
          <w:spacing w:val="-4"/>
          <w:sz w:val="28"/>
          <w:szCs w:val="28"/>
        </w:rPr>
        <w:t xml:space="preserve">  </w:t>
      </w:r>
      <w:r>
        <w:rPr>
          <w:rFonts w:hint="default" w:ascii="Times New Roman" w:hAnsi="Times New Roman" w:eastAsia="仿宋" w:cs="Times New Roman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标准主要起草人员及人员分工</w:t>
      </w:r>
    </w:p>
    <w:p>
      <w:pPr>
        <w:spacing w:line="113" w:lineRule="exact"/>
        <w:rPr>
          <w:rFonts w:hint="default" w:ascii="Times New Roman" w:hAnsi="Times New Roman" w:cs="Times New Roman"/>
        </w:rPr>
      </w:pPr>
    </w:p>
    <w:tbl>
      <w:tblPr>
        <w:tblStyle w:val="6"/>
        <w:tblW w:w="90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052"/>
        <w:gridCol w:w="2336"/>
        <w:gridCol w:w="1589"/>
        <w:gridCol w:w="1469"/>
        <w:gridCol w:w="19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662" w:type="dxa"/>
            <w:vAlign w:val="top"/>
          </w:tcPr>
          <w:p>
            <w:pPr>
              <w:spacing w:before="233" w:line="231" w:lineRule="auto"/>
              <w:ind w:left="130"/>
              <w:rPr>
                <w:rFonts w:hint="default"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052" w:type="dxa"/>
            <w:vAlign w:val="top"/>
          </w:tcPr>
          <w:p>
            <w:pPr>
              <w:spacing w:before="234" w:line="233" w:lineRule="auto"/>
              <w:ind w:left="354"/>
              <w:rPr>
                <w:rFonts w:hint="default"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2336" w:type="dxa"/>
            <w:vAlign w:val="top"/>
          </w:tcPr>
          <w:p>
            <w:pPr>
              <w:spacing w:before="233" w:line="229" w:lineRule="auto"/>
              <w:ind w:left="733"/>
              <w:rPr>
                <w:rFonts w:hint="default"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工作单</w:t>
            </w:r>
            <w:r>
              <w:rPr>
                <w:rFonts w:hint="default" w:ascii="Times New Roman" w:hAnsi="Times New Roman" w:eastAsia="仿宋" w:cs="Times New Roman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位</w:t>
            </w:r>
          </w:p>
        </w:tc>
        <w:tc>
          <w:tcPr>
            <w:tcW w:w="1589" w:type="dxa"/>
            <w:vAlign w:val="top"/>
          </w:tcPr>
          <w:p>
            <w:pPr>
              <w:spacing w:before="234" w:line="229" w:lineRule="auto"/>
              <w:ind w:left="330"/>
              <w:rPr>
                <w:rFonts w:hint="default"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职务/职称</w:t>
            </w:r>
          </w:p>
        </w:tc>
        <w:tc>
          <w:tcPr>
            <w:tcW w:w="1469" w:type="dxa"/>
            <w:vAlign w:val="top"/>
          </w:tcPr>
          <w:p>
            <w:pPr>
              <w:spacing w:before="233" w:line="232" w:lineRule="auto"/>
              <w:ind w:left="325"/>
              <w:rPr>
                <w:rFonts w:hint="default"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从</w:t>
            </w:r>
            <w:r>
              <w:rPr>
                <w:rFonts w:hint="default" w:ascii="Times New Roman" w:hAnsi="Times New Roman" w:eastAsia="仿宋" w:cs="Times New Roman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事专业</w:t>
            </w:r>
          </w:p>
        </w:tc>
        <w:tc>
          <w:tcPr>
            <w:tcW w:w="1915" w:type="dxa"/>
            <w:vAlign w:val="top"/>
          </w:tcPr>
          <w:p>
            <w:pPr>
              <w:spacing w:before="234" w:line="232" w:lineRule="auto"/>
              <w:ind w:left="547"/>
              <w:rPr>
                <w:rFonts w:hint="default" w:ascii="Times New Roman" w:hAnsi="Times New Roman" w:eastAsia="仿宋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项目分</w:t>
            </w:r>
            <w:r>
              <w:rPr>
                <w:rFonts w:hint="default" w:ascii="Times New Roman" w:hAnsi="Times New Roman" w:eastAsia="仿宋" w:cs="Times New Roman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1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ind w:left="210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张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平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ind w:left="210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湖南省园艺研究所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助理研究员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ind w:left="210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果树研究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ind w:left="210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主</w:t>
            </w:r>
            <w:r>
              <w:rPr>
                <w:rFonts w:hint="default" w:ascii="Times New Roman" w:hAnsi="Times New Roman" w:eastAsia="仿宋" w:cs="Times New Roman"/>
                <w:spacing w:val="4"/>
                <w:sz w:val="23"/>
                <w:szCs w:val="23"/>
              </w:rPr>
              <w:t>持起草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2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卜范文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湖南省园艺研究所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研究员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果树研究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指导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标准</w:t>
            </w: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修改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3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 xml:space="preserve">徐 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海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湖南省园艺研究所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副研究员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果树研究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指导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标准</w:t>
            </w: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修改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4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孔佑涵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湖南省园艺研究所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副研究员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果树研究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指导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标准</w:t>
            </w: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修改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5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吴娟娟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湖南省园艺研究所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助理研究员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果树研究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ind w:left="21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5"/>
                <w:ker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</w:rPr>
              <w:t>参与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相关试验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6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 xml:space="preserve">黄 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 xml:space="preserve"> 佳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湖南省园艺研究所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助理研究员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果树研究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参与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相关试验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7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刘   娟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湖南省园艺研究所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助理研究员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果树研究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参与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相关试验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8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陈为峰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湖南省园艺研究所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助理研究员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果树研究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参与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相关试验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9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易   春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湖南省农业科学院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副研究员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果树研究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指导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标准</w:t>
            </w: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修改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10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钟交明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浏阳市大围山镇人民政府农业农村办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主   任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技术推广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参与技术推广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11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邹会龙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江华六月香果业股份有限公司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总经理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果树生产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参与技术推广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12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邓洪涛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衡阳力丰现代农业发展有限公司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技术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主管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果树生产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参与技术推广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13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黎建康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浏阳市康菁丽新农业发展有限公司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法定代表人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果树生产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参与技术推广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14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饶家红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宏发苗香梨专业合作社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技术</w:t>
            </w: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主管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果树生产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参与技术推广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66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15</w:t>
            </w:r>
          </w:p>
        </w:tc>
        <w:tc>
          <w:tcPr>
            <w:tcW w:w="1052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牟   亮</w:t>
            </w:r>
          </w:p>
        </w:tc>
        <w:tc>
          <w:tcPr>
            <w:tcW w:w="2336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攸县大周家庭农场</w:t>
            </w:r>
          </w:p>
        </w:tc>
        <w:tc>
          <w:tcPr>
            <w:tcW w:w="158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负责人</w:t>
            </w:r>
          </w:p>
        </w:tc>
        <w:tc>
          <w:tcPr>
            <w:tcW w:w="1469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果树生产</w:t>
            </w:r>
          </w:p>
        </w:tc>
        <w:tc>
          <w:tcPr>
            <w:tcW w:w="1915" w:type="dxa"/>
            <w:vAlign w:val="top"/>
          </w:tcPr>
          <w:p>
            <w:pPr>
              <w:spacing w:before="176" w:line="232" w:lineRule="auto"/>
              <w:jc w:val="center"/>
              <w:rPr>
                <w:rFonts w:hint="default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5"/>
                <w:sz w:val="23"/>
                <w:szCs w:val="23"/>
                <w:lang w:val="en-US" w:eastAsia="zh-CN"/>
              </w:rPr>
              <w:t>参与技术推广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29" w:lineRule="exact"/>
        <w:ind w:firstLine="663" w:firstLineChars="200"/>
        <w:textAlignment w:val="baseline"/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  <w:t>4、工作过程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在此项目立项前，湖南省园艺研究所做了大量准备工作，包括对梨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树抗早期落叶品种的筛选、影响梨早期落叶现象病害及虫害的调查、干旱和涝害与早期落叶的相关性研究。通过自身实验与大量调查数据，本项目组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掌握了丰富的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素材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。标准立项后立即启动制订工作并成立编制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小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组，制定了工作计划。起草人员由张平、卜范文等人组成，确定了人员分工，制定了方法与思路，明确了各阶段的任务与目标。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 xml:space="preserve"> 年至 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 xml:space="preserve"> 年，开展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全省梨早期落叶情况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的调研工作与初步试验，同时积极收集、查阅和整理相关资料。202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 xml:space="preserve"> 年至202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 xml:space="preserve"> 年，通过实践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各种防控措施，对控制梨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的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早期落叶问题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进行探索总结，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现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综合形成了《梨早期落叶综合防控技术规程》标准草案稿和编制说明。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 xml:space="preserve"> 年 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 xml:space="preserve"> 月，标准编制组与行业专家、社会同行广泛交流意见，完成了本标准征求意见稿和编制说明，并于 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月至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9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月对外征求意见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共征集修改意见</w:t>
      </w:r>
      <w:r>
        <w:rPr>
          <w:rFonts w:hint="eastAsia" w:ascii="Times New Roman" w:hAnsi="Times New Roman" w:eastAsia="仿宋"/>
          <w:bCs/>
          <w:color w:val="auto"/>
          <w:sz w:val="32"/>
          <w:szCs w:val="32"/>
        </w:rPr>
        <w:t>1</w:t>
      </w:r>
      <w:r>
        <w:rPr>
          <w:rFonts w:hint="eastAsia" w:ascii="Times New Roman" w:hAnsi="Times New Roman" w:eastAsia="仿宋"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。202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 xml:space="preserve"> 年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10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月，汇总由中国农业科学院郑州果树研究所、湖北省农业科学院果树茶叶研究所、南京农业大学园艺学院等单位专家提出的返修意见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bCs/>
          <w:sz w:val="32"/>
          <w:szCs w:val="32"/>
        </w:rPr>
        <w:t>按专家意见对标准草案进行了调整和修改完善，形成了标准征求意见稿。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243" w:lineRule="auto"/>
        <w:ind w:left="28"/>
        <w:textAlignment w:val="baseline"/>
        <w:outlineLvl w:val="0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三、制订标准原</w:t>
      </w:r>
      <w:r>
        <w:rPr>
          <w:rFonts w:hint="default" w:ascii="Times New Roman" w:hAnsi="Times New Roman" w:eastAsia="宋体" w:cs="Times New Roman"/>
          <w:spacing w:val="1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则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宋体" w:cs="Times New Roman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标准编制过程中遵循“科学性、实用性、统一性、规范性”的原则，注重标准的可操作性。立足我省梨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发展面临的关键问题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，重点围绕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研究减轻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梨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早期落叶的技术措施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，以大量的试验数据和市场、企业调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研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为基础，同时，严格遵循国家有关方针、政策、法规和规章，与国家法律、法规、标准以及其他标准相协调。技术指标的确定参考产品生产、国家标准指导意见以及实际情况，使标准既保持技术上的先进性，又具有经济上的合理性。同时，保证标准内容的叙述正确无误，文字表达准确、简明、易懂，标准的构成严谨合理，内容编排、层次划分等符合逻辑与规定。本标准严格按照 GB/T1.1-2020《标准化工作导则第1部分:标准的结构和编写规则》的要求进行制订，在标准编写模板中进行编写，与国家的法律、法规和农业相关政策文件保持一致。</w:t>
      </w:r>
      <w:bookmarkStart w:id="4" w:name="_GoBack"/>
      <w:bookmarkEnd w:id="4"/>
    </w:p>
    <w:p>
      <w:pPr>
        <w:spacing w:before="163" w:line="228" w:lineRule="auto"/>
        <w:ind w:left="56"/>
        <w:outlineLvl w:val="0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hint="default" w:ascii="Times New Roman" w:hAnsi="Times New Roman" w:eastAsia="宋体" w:cs="Times New Roman"/>
          <w:spacing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、标准主要技术内容说明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29" w:lineRule="exact"/>
        <w:ind w:left="680"/>
        <w:textAlignment w:val="baseline"/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  <w:t>1、框架结构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《梨早期落叶综合防控技术规程》有7章，基本框架为范围、规范性引用文件、术语与定义、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抗逆品种选择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技术措施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补救措施与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档案管理等技术指标。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29" w:lineRule="exact"/>
        <w:ind w:left="680"/>
        <w:textAlignment w:val="baseline"/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spacing w:val="5"/>
          <w:position w:val="2"/>
          <w:sz w:val="32"/>
          <w:szCs w:val="32"/>
        </w:rPr>
        <w:t>2、主要内容说明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bidi="ar-SA"/>
        </w:rPr>
        <w:t>标准第3章术语与定义中，介绍了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梨早期落叶的概念与不良影响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bidi="ar-SA"/>
        </w:rPr>
        <w:t xml:space="preserve">。 </w:t>
      </w:r>
    </w:p>
    <w:p>
      <w:pPr>
        <w:pStyle w:val="9"/>
        <w:numPr>
          <w:ilvl w:val="1"/>
          <w:numId w:val="0"/>
        </w:numPr>
        <w:bidi w:val="0"/>
        <w:ind w:leftChars="0" w:firstLine="640" w:firstLineChars="200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标准第4章，介绍了</w:t>
      </w:r>
      <w:bookmarkStart w:id="1" w:name="_Toc15294"/>
      <w:bookmarkStart w:id="2" w:name="_Toc7291"/>
      <w:bookmarkStart w:id="3" w:name="_Toc189"/>
      <w:r>
        <w:rPr>
          <w:rFonts w:hint="eastAsia" w:asci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抗梨早期落叶品种的选择</w:t>
      </w:r>
      <w:bookmarkEnd w:id="1"/>
      <w:bookmarkEnd w:id="2"/>
      <w:bookmarkEnd w:id="3"/>
      <w:r>
        <w:rPr>
          <w:rFonts w:hint="eastAsia" w:asci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。</w:t>
      </w:r>
    </w:p>
    <w:p>
      <w:pPr>
        <w:pStyle w:val="9"/>
        <w:numPr>
          <w:ilvl w:val="1"/>
          <w:numId w:val="0"/>
        </w:numPr>
        <w:bidi w:val="0"/>
        <w:ind w:leftChars="0" w:firstLine="64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标准第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章，详细介绍了</w:t>
      </w:r>
      <w:r>
        <w:rPr>
          <w:rFonts w:hint="eastAsia" w:asci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如何通过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改善通风透光条件、平衡肥水管理、调控花果数量、防控病虫害来减轻早期落叶的不良影响。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标准第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章，</w:t>
      </w:r>
      <w:r>
        <w:rPr>
          <w:rFonts w:hint="eastAsia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介绍了发生早期落叶现象后的三种补救措施</w:t>
      </w: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。</w:t>
      </w:r>
    </w:p>
    <w:p>
      <w:pPr>
        <w:spacing w:before="153" w:line="344" w:lineRule="auto"/>
        <w:ind w:left="52" w:right="125" w:hanging="21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五、与有关现行法律、法规和强制性国家标准、行业标</w:t>
      </w:r>
      <w:r>
        <w:rPr>
          <w:rFonts w:hint="default" w:ascii="Times New Roman" w:hAnsi="Times New Roman" w:eastAsia="宋体" w:cs="Times New Roman"/>
          <w:spacing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准</w:t>
      </w:r>
      <w:r>
        <w:rPr>
          <w:rFonts w:hint="default" w:ascii="Times New Roman" w:hAnsi="Times New Roman" w:eastAsia="宋体" w:cs="Times New Roman"/>
          <w:sz w:val="31"/>
          <w:szCs w:val="31"/>
        </w:rPr>
        <w:t xml:space="preserve"> </w:t>
      </w:r>
      <w:r>
        <w:rPr>
          <w:rFonts w:hint="default" w:ascii="Times New Roman" w:hAnsi="Times New Roman" w:eastAsia="宋体" w:cs="Times New Roman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的关</w:t>
      </w:r>
      <w:r>
        <w:rPr>
          <w:rFonts w:hint="default" w:ascii="Times New Roman" w:hAnsi="Times New Roman" w:eastAsia="宋体" w:cs="Times New Roman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系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本标准与现行法律、法规和强制性标准无相互矛盾和抵 触的条款，与国内外有关法规、标准和强制性标准协调一致。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《梨早期落叶综合防控技术规程》的制定符合现行法律、法规， 并和其他标准可以配套使用，没有冲突。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228" w:lineRule="auto"/>
        <w:ind w:left="28"/>
        <w:textAlignment w:val="baseline"/>
        <w:outlineLvl w:val="0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2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六、规程作为强制性标准或者推荐性标准的建</w:t>
      </w:r>
      <w:r>
        <w:rPr>
          <w:rFonts w:hint="default" w:ascii="Times New Roman" w:hAnsi="Times New Roman" w:eastAsia="宋体" w:cs="Times New Roman"/>
          <w:spacing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议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" w:cs="Times New Roman"/>
          <w:color w:val="333333"/>
          <w:spacing w:val="8"/>
          <w:sz w:val="31"/>
          <w:szCs w:val="31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建议本标准作为推荐性地方标准发布实施。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236" w:lineRule="auto"/>
        <w:ind w:left="23"/>
        <w:textAlignment w:val="baseline"/>
        <w:outlineLvl w:val="0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2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七</w:t>
      </w:r>
      <w:r>
        <w:rPr>
          <w:rFonts w:hint="default" w:ascii="Times New Roman" w:hAnsi="Times New Roman" w:eastAsia="宋体" w:cs="Times New Roman"/>
          <w:spacing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、贯彻规程的要求、措施和建议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1 、首先应在实施前保证标准文本的充足供应，让企业、公司、专业合作社、种植者等使用对象都能及时得到标准文本，这是保证新标准贯彻实施的基础。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2 、发布后、实施前应将信息在省农业厅、市农业系统网上公开发布，进行广泛而有效的宣传。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3 、建议在宣传的同时，在全省范围内举办“梨早期落叶综合防控技术”培训班，并根据技术需求，开展有针对性的现场指导。</w:t>
      </w:r>
    </w:p>
    <w:p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Cs/>
          <w:snapToGrid/>
          <w:kern w:val="2"/>
          <w:sz w:val="32"/>
          <w:szCs w:val="32"/>
          <w:lang w:val="en-US" w:eastAsia="zh-CN" w:bidi="ar-SA"/>
        </w:rPr>
        <w:t>4 、质量监管部门应加大对梨早期落叶综合防控技术的宣传与推进。</w:t>
      </w:r>
    </w:p>
    <w:p>
      <w:pPr>
        <w:spacing w:before="137" w:line="225" w:lineRule="auto"/>
        <w:ind w:left="31"/>
        <w:outlineLvl w:val="0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2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八</w:t>
      </w:r>
      <w:r>
        <w:rPr>
          <w:rFonts w:hint="default" w:ascii="Times New Roman" w:hAnsi="Times New Roman" w:eastAsia="宋体" w:cs="Times New Roman"/>
          <w:spacing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、废止现行有关标准建议</w:t>
      </w:r>
    </w:p>
    <w:p>
      <w:pPr>
        <w:spacing w:line="429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151" w:lineRule="exact"/>
        <w:ind w:left="1019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cs="Times New Roman"/>
        </w:rPr>
        <w:pict>
          <v:shape id="_x0000_s1026" o:spid="_x0000_s1026" o:spt="202" type="#_x0000_t202" style="position:absolute;left:0pt;margin-left:32.95pt;margin-top:-6.55pt;height:21.4pt;width:16.7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1" w:lineRule="auto"/>
                    <w:ind w:left="20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>无</w:t>
                  </w:r>
                </w:p>
              </w:txbxContent>
            </v:textbox>
          </v:shape>
        </w:pict>
      </w:r>
      <w:r>
        <w:rPr>
          <w:rFonts w:hint="default" w:ascii="Times New Roman" w:hAnsi="Times New Roman" w:eastAsia="仿宋" w:cs="Times New Roman"/>
          <w:position w:val="2"/>
          <w:sz w:val="31"/>
          <w:szCs w:val="31"/>
        </w:rPr>
        <w:t>。</w:t>
      </w:r>
    </w:p>
    <w:p>
      <w:pPr>
        <w:spacing w:line="245" w:lineRule="auto"/>
        <w:rPr>
          <w:rFonts w:hint="default" w:ascii="Times New Roman" w:hAnsi="Times New Roman" w:cs="Times New Roman"/>
          <w:sz w:val="21"/>
        </w:rPr>
      </w:pPr>
    </w:p>
    <w:p>
      <w:pPr>
        <w:spacing w:before="102" w:line="228" w:lineRule="auto"/>
        <w:ind w:left="34"/>
        <w:outlineLvl w:val="0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2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九</w:t>
      </w:r>
      <w:r>
        <w:rPr>
          <w:rFonts w:hint="default" w:ascii="Times New Roman" w:hAnsi="Times New Roman" w:eastAsia="宋体" w:cs="Times New Roman"/>
          <w:spacing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、其他应予以说明的地方</w:t>
      </w:r>
    </w:p>
    <w:p>
      <w:pPr>
        <w:spacing w:line="428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151" w:lineRule="exact"/>
        <w:ind w:left="1019"/>
        <w:rPr>
          <w:rFonts w:hint="default" w:ascii="Times New Roman" w:hAnsi="Times New Roman" w:eastAsia="仿宋" w:cs="Times New Roman"/>
          <w:position w:val="2"/>
          <w:sz w:val="31"/>
          <w:szCs w:val="31"/>
        </w:rPr>
      </w:pPr>
      <w:r>
        <w:rPr>
          <w:rFonts w:hint="default" w:ascii="Times New Roman" w:hAnsi="Times New Roman" w:cs="Times New Roman"/>
        </w:rPr>
        <w:pict>
          <v:shape id="_x0000_s1027" o:spid="_x0000_s1027" o:spt="202" type="#_x0000_t202" style="position:absolute;left:0pt;margin-left:32.95pt;margin-top:-6.55pt;height:21.4pt;width:16.7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1" w:lineRule="auto"/>
                    <w:ind w:left="20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>无</w:t>
                  </w:r>
                </w:p>
              </w:txbxContent>
            </v:textbox>
          </v:shape>
        </w:pict>
      </w:r>
      <w:r>
        <w:rPr>
          <w:rFonts w:hint="default" w:ascii="Times New Roman" w:hAnsi="Times New Roman" w:eastAsia="仿宋" w:cs="Times New Roman"/>
          <w:position w:val="2"/>
          <w:sz w:val="31"/>
          <w:szCs w:val="31"/>
        </w:rPr>
        <w:t>。</w:t>
      </w:r>
    </w:p>
    <w:p>
      <w:pPr>
        <w:spacing w:before="101" w:line="151" w:lineRule="exact"/>
        <w:ind w:left="1019"/>
        <w:rPr>
          <w:rFonts w:hint="default" w:ascii="Times New Roman" w:hAnsi="Times New Roman" w:eastAsia="仿宋" w:cs="Times New Roman"/>
          <w:position w:val="2"/>
          <w:sz w:val="31"/>
          <w:szCs w:val="31"/>
        </w:rPr>
      </w:pPr>
    </w:p>
    <w:p>
      <w:pPr>
        <w:spacing w:before="101" w:line="151" w:lineRule="exact"/>
        <w:ind w:left="1019"/>
        <w:rPr>
          <w:rFonts w:hint="default" w:ascii="Times New Roman" w:hAnsi="Times New Roman" w:eastAsia="仿宋" w:cs="Times New Roman"/>
          <w:position w:val="2"/>
          <w:sz w:val="31"/>
          <w:szCs w:val="31"/>
        </w:rPr>
      </w:pPr>
    </w:p>
    <w:p>
      <w:pPr>
        <w:spacing w:before="101" w:line="151" w:lineRule="exact"/>
        <w:ind w:left="1019"/>
        <w:rPr>
          <w:rFonts w:hint="default" w:ascii="Times New Roman" w:hAnsi="Times New Roman" w:eastAsia="仿宋" w:cs="Times New Roman"/>
          <w:position w:val="2"/>
          <w:sz w:val="31"/>
          <w:szCs w:val="31"/>
        </w:rPr>
      </w:pPr>
    </w:p>
    <w:p>
      <w:pPr>
        <w:spacing w:before="101" w:line="151" w:lineRule="exact"/>
        <w:ind w:left="1019"/>
        <w:rPr>
          <w:rFonts w:hint="default" w:ascii="Times New Roman" w:hAnsi="Times New Roman" w:eastAsia="仿宋" w:cs="Times New Roman"/>
          <w:position w:val="2"/>
          <w:sz w:val="31"/>
          <w:szCs w:val="31"/>
        </w:rPr>
      </w:pPr>
    </w:p>
    <w:p>
      <w:pPr>
        <w:spacing w:before="101" w:line="151" w:lineRule="exact"/>
        <w:ind w:left="1019"/>
        <w:rPr>
          <w:rFonts w:hint="default" w:ascii="Times New Roman" w:hAnsi="Times New Roman" w:eastAsia="仿宋" w:cs="Times New Roman"/>
          <w:position w:val="2"/>
          <w:sz w:val="31"/>
          <w:szCs w:val="31"/>
        </w:rPr>
      </w:pPr>
    </w:p>
    <w:p>
      <w:pPr>
        <w:spacing w:before="101" w:line="151" w:lineRule="exact"/>
        <w:ind w:left="1019"/>
        <w:rPr>
          <w:rFonts w:hint="default" w:ascii="Times New Roman" w:hAnsi="Times New Roman" w:eastAsia="仿宋" w:cs="Times New Roman"/>
          <w:position w:val="2"/>
          <w:sz w:val="31"/>
          <w:szCs w:val="31"/>
        </w:rPr>
      </w:pPr>
    </w:p>
    <w:p>
      <w:pPr>
        <w:jc w:val="both"/>
        <w:rPr>
          <w:rFonts w:hint="eastAsia"/>
          <w:sz w:val="32"/>
          <w:szCs w:val="32"/>
        </w:rPr>
        <w:sectPr>
          <w:pgSz w:w="11906" w:h="16839"/>
          <w:pgMar w:top="1440" w:right="1800" w:bottom="1440" w:left="1800" w:header="0" w:footer="0" w:gutter="0"/>
          <w:cols w:space="720" w:num="1"/>
        </w:sectPr>
      </w:pPr>
      <w:r>
        <w:rPr>
          <w:rFonts w:hint="eastAsia"/>
          <w:sz w:val="32"/>
          <w:szCs w:val="32"/>
        </w:rPr>
        <w:t xml:space="preserve"> </w:t>
      </w:r>
    </w:p>
    <w:p>
      <w:pPr>
        <w:jc w:val="center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/>
          <w:sz w:val="32"/>
          <w:szCs w:val="32"/>
        </w:rPr>
        <w:t xml:space="preserve"> 湖南省地方标准意见反馈汇总表及分析处理意见    </w:t>
      </w:r>
      <w:r>
        <w:rPr>
          <w:rFonts w:hint="eastAsia" w:ascii="宋体" w:hAnsi="宋体"/>
          <w:sz w:val="24"/>
        </w:rPr>
        <w:t xml:space="preserve">联系人： </w:t>
      </w:r>
      <w:r>
        <w:rPr>
          <w:rFonts w:hint="eastAsia" w:ascii="宋体" w:hAnsi="宋体"/>
          <w:sz w:val="24"/>
          <w:lang w:eastAsia="zh-CN"/>
        </w:rPr>
        <w:t>张平</w:t>
      </w:r>
      <w:r>
        <w:rPr>
          <w:rFonts w:hint="eastAsia" w:ascii="宋体" w:hAnsi="宋体"/>
          <w:sz w:val="24"/>
        </w:rPr>
        <w:t xml:space="preserve">  联系电话：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Times New Roman" w:hAnsi="Times New Roman"/>
          <w:sz w:val="24"/>
          <w:lang w:val="en-US" w:eastAsia="zh-CN"/>
        </w:rPr>
        <w:t>3487579940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1130"/>
        <w:gridCol w:w="5108"/>
        <w:gridCol w:w="2608"/>
        <w:gridCol w:w="3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标准名称</w:t>
            </w:r>
          </w:p>
        </w:tc>
        <w:tc>
          <w:tcPr>
            <w:tcW w:w="6238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梨早期落叶综合防控技术规程</w:t>
            </w:r>
          </w:p>
        </w:tc>
        <w:tc>
          <w:tcPr>
            <w:tcW w:w="2608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负责起草单位</w:t>
            </w:r>
          </w:p>
        </w:tc>
        <w:tc>
          <w:tcPr>
            <w:tcW w:w="3152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湖南省园艺研究所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征求意见单位</w:t>
            </w: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章条编号</w:t>
            </w:r>
          </w:p>
        </w:tc>
        <w:tc>
          <w:tcPr>
            <w:tcW w:w="5108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原文为</w:t>
            </w:r>
          </w:p>
        </w:tc>
        <w:tc>
          <w:tcPr>
            <w:tcW w:w="5760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修改为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中国农业科学院郑州果树研究所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pear leaves abscise ahead of time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early defoliation of pear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中国农业科学院郑州果树研究所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南方地区，受夏秋季高温干旱及病虫害等因素的影响，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梨树早期落叶发生后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梨树在病虫害、水涝和干旱等不良外界条件的影响下，10月上旬以前树叶出现大量脱落的现象。梨树早期落叶发生后，出现返青返花现象，导致梨树翌年春季花量减少或完全没有花，严重影响第二年梨果产量。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中国农业科学院郑州果树研究所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3.1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梨树在不良外界条件严重负面影响下会发生早期落叶，此章条不必再具体说明苏翠1号、翠冠、中梨1号等早熟品种发生较为普遍，或在后续章节中单列梨品种选择相关内容。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 xml:space="preserve">已补充：5 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品种选择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中国农业科学院郑州果树研究所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建议补充种植抗性品种、梨避雨设施栽培等梨早期落叶防控相关内容。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 xml:space="preserve">已补充：5 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品种选择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中国农业科学院郑州果树研究所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4.4.1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“开二次花现象严重的梨园，宜在翌年春季萌芽前补接花芽，以保障第二年的产量。”可作为梨早期落叶发生后补救措施单列成章条。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 xml:space="preserve">已补充：6 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补救措施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中国农业科学院郑州果树研究所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建议参考DB32/T 3682-2019或相关文献资料，补充与梨早期落叶相关叶部病害的化学防控措施。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已补充：4.5.1病害防控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中国农业科学院郑州果树研究所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4.5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建议补充与早期落叶相关害虫的针对性防控措施，如二斑叶螨、斜纹夜蛾等可严重为害梨树叶片的害虫。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已补充：4.5.2虫害防控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湖北省农业科学院果树茶叶研究所</w:t>
            </w: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增加品种选择，选择抗病品种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 xml:space="preserve">已补充：5 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品种选择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湖北省农业科学院果树茶叶研究所</w:t>
            </w: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梨树在不良外界条件的影响下，8月～10月期间树叶即大量脱落的现象。受夏秋季高温干旱及病虫害等因素影响，梨树早期落叶发生后，往往连带出现开二次花的现象，导致梨树翌年春季花量减少或完全没有花，严重影响第二年的产量。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梨树在病虫害、水涝和干旱等不良外界条件的影响下，10月上旬以前树叶出现大量脱落的现象。梨树早期落叶发生后，往往出现返青返花现象，导致梨树翌年春季花量减少或完全没有花，严重影响第二年梨果产量与品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湖北省农业科学院果树茶叶研究所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建议增加新建梨园抽槽和做行带的技术措施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4.2 水分管理已修改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湖北省农业科学院果树茶叶研究所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3米*4米，或4米*4米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3米×4米，或4米×4米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湖北省农业科学院果树茶叶研究所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增加注意肥料使用浓度，不使用未发酵有机肥，避免肥害造成落叶。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宜使用发酵后的有机肥，未发酵的有机肥须与土壤充分拌匀，避免肥害造成落叶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湖北省农业科学院果树茶叶研究所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4.4.2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15 cm～20 cm留1个果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20 cm～25 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湖北省农业科学院果树茶叶研究所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4.4.2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保证叶果比达到15～25：l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20～30：l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湖北省农业科学院果树茶叶研究所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建议增加引起早期落叶的主要病虫害防控方法，增加标准的可实际操作性。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已补充：4.5.1病害防控、4.5.2虫害防控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南京农业大学园艺学院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梨树早期落叶发生后，往往连带出现开二次花的现象，导致梨树翌年春季花量减少或完全没有花，严重影响第二年的产量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梨树早期落叶发生后，往往连带出现开二次花的现象，导致树势衰弱，甚至严重影响第二年的产量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南京农业大学园艺学院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eastAsia="zh-CN"/>
              </w:rPr>
              <w:t xml:space="preserve">4 </w:t>
            </w:r>
          </w:p>
        </w:tc>
        <w:tc>
          <w:tcPr>
            <w:tcW w:w="5108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技术措施中建议增加一条：“种植抗性强的品种。根据当地生态环境和气候特点，优先选择较抗早期落叶的品种种植，如‘翠玉’‘浙梨6号’等”。</w:t>
            </w:r>
          </w:p>
        </w:tc>
        <w:tc>
          <w:tcPr>
            <w:tcW w:w="576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 xml:space="preserve">已补充：5 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eastAsia="zh-CN"/>
              </w:rPr>
              <w:t>品种选择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  <w:t>湖南省市场监督管理局官网</w:t>
            </w:r>
          </w:p>
        </w:tc>
        <w:tc>
          <w:tcPr>
            <w:tcW w:w="1130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</w:p>
        </w:tc>
        <w:tc>
          <w:tcPr>
            <w:tcW w:w="5108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lang w:val="en-US" w:eastAsia="zh-CN"/>
              </w:rPr>
              <w:t>面向社会各界公开征求意见1个月</w:t>
            </w:r>
          </w:p>
        </w:tc>
        <w:tc>
          <w:tcPr>
            <w:tcW w:w="5760" w:type="dxa"/>
            <w:gridSpan w:val="2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</w:rPr>
            </w:pPr>
          </w:p>
        </w:tc>
      </w:tr>
    </w:tbl>
    <w:p>
      <w:pPr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/>
          <w:sz w:val="28"/>
          <w:szCs w:val="28"/>
        </w:rPr>
        <w:t>分析处理意见：征求意见单位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家，提出修改意见</w:t>
      </w:r>
      <w:r>
        <w:rPr>
          <w:rFonts w:hint="eastAsia" w:ascii="Times New Roman" w:hAnsi="Times New Roman"/>
          <w:sz w:val="28"/>
          <w:szCs w:val="28"/>
        </w:rPr>
        <w:t>1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条，全部采纳。</w:t>
      </w:r>
    </w:p>
    <w:p>
      <w:pPr>
        <w:spacing w:before="101" w:line="151" w:lineRule="exact"/>
        <w:ind w:left="1019"/>
        <w:rPr>
          <w:rFonts w:hint="default" w:ascii="Times New Roman" w:hAnsi="Times New Roman" w:eastAsia="仿宋" w:cs="Times New Roman"/>
          <w:position w:val="2"/>
          <w:sz w:val="31"/>
          <w:szCs w:val="31"/>
        </w:rPr>
      </w:pPr>
    </w:p>
    <w:p>
      <w:pPr>
        <w:spacing w:line="304" w:lineRule="auto"/>
        <w:rPr>
          <w:rFonts w:hint="default" w:ascii="Times New Roman" w:hAnsi="Times New Roman" w:cs="Times New Roman"/>
          <w:sz w:val="21"/>
        </w:rPr>
      </w:pPr>
    </w:p>
    <w:p>
      <w:pPr>
        <w:spacing w:line="304" w:lineRule="auto"/>
        <w:rPr>
          <w:rFonts w:hint="default" w:ascii="Times New Roman" w:hAnsi="Times New Roman" w:cs="Times New Roman"/>
          <w:sz w:val="21"/>
        </w:rPr>
      </w:pPr>
    </w:p>
    <w:p>
      <w:pPr>
        <w:spacing w:line="304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379" w:lineRule="auto"/>
        <w:ind w:right="493"/>
        <w:rPr>
          <w:rFonts w:hint="default" w:ascii="Times New Roman" w:hAnsi="Times New Roman" w:eastAsia="仿宋" w:cs="Times New Roman"/>
          <w:sz w:val="31"/>
          <w:szCs w:val="31"/>
        </w:rPr>
      </w:pPr>
    </w:p>
    <w:sectPr>
      <w:pgSz w:w="16839" w:h="11906" w:orient="landscape"/>
      <w:pgMar w:top="1800" w:right="1440" w:bottom="1800" w:left="14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WFkNzMwNDQ3MDcyMWZiMDgxZTM4ZmMzNmQzYmQzOWYifQ=="/>
  </w:docVars>
  <w:rsids>
    <w:rsidRoot w:val="00000000"/>
    <w:rsid w:val="007572E5"/>
    <w:rsid w:val="02097BB8"/>
    <w:rsid w:val="02A05FD7"/>
    <w:rsid w:val="09AF7805"/>
    <w:rsid w:val="0BC67500"/>
    <w:rsid w:val="0E31014F"/>
    <w:rsid w:val="11BF16FA"/>
    <w:rsid w:val="13DF5603"/>
    <w:rsid w:val="13EA56DA"/>
    <w:rsid w:val="1AED104E"/>
    <w:rsid w:val="1D2733FA"/>
    <w:rsid w:val="1E2307E2"/>
    <w:rsid w:val="1F642E60"/>
    <w:rsid w:val="21E97519"/>
    <w:rsid w:val="225433D1"/>
    <w:rsid w:val="226376D9"/>
    <w:rsid w:val="232F1757"/>
    <w:rsid w:val="24E346C5"/>
    <w:rsid w:val="2D471C75"/>
    <w:rsid w:val="357A3236"/>
    <w:rsid w:val="35C91817"/>
    <w:rsid w:val="40947841"/>
    <w:rsid w:val="449F1F98"/>
    <w:rsid w:val="44A8366B"/>
    <w:rsid w:val="468E00FC"/>
    <w:rsid w:val="46B806F9"/>
    <w:rsid w:val="488E3853"/>
    <w:rsid w:val="4AEC68FB"/>
    <w:rsid w:val="4B3700DB"/>
    <w:rsid w:val="4BD27220"/>
    <w:rsid w:val="4D513D87"/>
    <w:rsid w:val="50644D4D"/>
    <w:rsid w:val="521D6B86"/>
    <w:rsid w:val="542D5B65"/>
    <w:rsid w:val="543C3637"/>
    <w:rsid w:val="5A1E0981"/>
    <w:rsid w:val="5F282CBE"/>
    <w:rsid w:val="60A977CB"/>
    <w:rsid w:val="61167757"/>
    <w:rsid w:val="61351479"/>
    <w:rsid w:val="629628FD"/>
    <w:rsid w:val="647C292B"/>
    <w:rsid w:val="6AFD7F10"/>
    <w:rsid w:val="6C2341B9"/>
    <w:rsid w:val="6D2B016A"/>
    <w:rsid w:val="6E5F5050"/>
    <w:rsid w:val="70E50F8E"/>
    <w:rsid w:val="715D28C3"/>
    <w:rsid w:val="73A86EC0"/>
    <w:rsid w:val="7492790C"/>
    <w:rsid w:val="7CE65DD7"/>
    <w:rsid w:val="7D2956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">
    <w:name w:val="二级条标题"/>
    <w:basedOn w:val="9"/>
    <w:next w:val="7"/>
    <w:qFormat/>
    <w:uiPriority w:val="0"/>
    <w:pPr>
      <w:numPr>
        <w:ilvl w:val="2"/>
        <w:numId w:val="1"/>
      </w:numPr>
      <w:spacing w:before="50" w:after="50"/>
      <w:outlineLvl w:val="3"/>
    </w:pPr>
  </w:style>
  <w:style w:type="paragraph" w:customStyle="1" w:styleId="9">
    <w:name w:val="一级条标题"/>
    <w:next w:val="7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">
    <w:name w:val="章标题"/>
    <w:next w:val="7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3046</Words>
  <Characters>3154</Characters>
  <TotalTime>3</TotalTime>
  <ScaleCrop>false</ScaleCrop>
  <LinksUpToDate>false</LinksUpToDate>
  <CharactersWithSpaces>3243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2022-11-13T03:08:00Z</dcterms:created>
  <dc:creator>Administrator</dc:creator>
  <cp:lastModifiedBy>WPS_1559721853</cp:lastModifiedBy>
  <cp:lastPrinted>2022-12-12T00:27:00Z</cp:lastPrinted>
  <dcterms:modified xsi:type="dcterms:W3CDTF">2023-11-05T17:26:26Z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2022-11-28T06:10:48Z</vt:filetime>
  </property>
  <property fmtid="{D5CDD505-2E9C-101B-9397-08002B2CF9AE}" pid="4" name="KSOProductBuildVer">
    <vt:lpwstr>2052-12.1.0.15712</vt:lpwstr>
  </property>
  <property fmtid="{D5CDD505-2E9C-101B-9397-08002B2CF9AE}" pid="5" name="ICV">
    <vt:lpwstr>95917D84D3CB4602A5D29FDDCC04422D</vt:lpwstr>
  </property>
</Properties>
</file>